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CB1E7" w14:textId="77777777" w:rsidR="008677D5" w:rsidRPr="00AC60B2" w:rsidRDefault="00AC60B2" w:rsidP="00AC60B2">
      <w:pPr>
        <w:jc w:val="center"/>
        <w:rPr>
          <w:rFonts w:asciiTheme="majorHAnsi" w:hAnsiTheme="majorHAnsi"/>
          <w:b/>
          <w:color w:val="2E74B5" w:themeColor="accent1" w:themeShade="BF"/>
          <w:sz w:val="28"/>
          <w:szCs w:val="28"/>
        </w:rPr>
      </w:pPr>
      <w:r w:rsidRPr="00AC60B2">
        <w:rPr>
          <w:rFonts w:asciiTheme="majorHAnsi" w:hAnsiTheme="majorHAnsi"/>
          <w:b/>
          <w:color w:val="2E74B5" w:themeColor="accent1" w:themeShade="BF"/>
          <w:sz w:val="28"/>
          <w:szCs w:val="28"/>
        </w:rPr>
        <w:t xml:space="preserve">III. </w:t>
      </w:r>
      <w:r w:rsidR="006E4C7F" w:rsidRPr="00AC60B2">
        <w:rPr>
          <w:rFonts w:asciiTheme="majorHAnsi" w:hAnsiTheme="majorHAnsi"/>
          <w:b/>
          <w:color w:val="2E74B5" w:themeColor="accent1" w:themeShade="BF"/>
          <w:sz w:val="28"/>
          <w:szCs w:val="28"/>
        </w:rPr>
        <w:t>Diritti sui prodotti/risultati realizzati nell’ambito di attività finanziate dalla PA: p</w:t>
      </w:r>
      <w:r w:rsidR="000901D5" w:rsidRPr="00AC60B2">
        <w:rPr>
          <w:rFonts w:asciiTheme="majorHAnsi" w:hAnsiTheme="majorHAnsi"/>
          <w:b/>
          <w:color w:val="2E74B5" w:themeColor="accent1" w:themeShade="BF"/>
          <w:sz w:val="28"/>
          <w:szCs w:val="28"/>
        </w:rPr>
        <w:t>roprietà</w:t>
      </w:r>
      <w:r w:rsidR="003D6806" w:rsidRPr="00AC60B2">
        <w:rPr>
          <w:rFonts w:asciiTheme="majorHAnsi" w:hAnsiTheme="majorHAnsi"/>
          <w:b/>
          <w:color w:val="2E74B5" w:themeColor="accent1" w:themeShade="BF"/>
          <w:sz w:val="28"/>
          <w:szCs w:val="28"/>
        </w:rPr>
        <w:t xml:space="preserve"> </w:t>
      </w:r>
      <w:r w:rsidR="006E4C7F" w:rsidRPr="00AC60B2">
        <w:rPr>
          <w:rFonts w:asciiTheme="majorHAnsi" w:hAnsiTheme="majorHAnsi"/>
          <w:b/>
          <w:color w:val="2E74B5" w:themeColor="accent1" w:themeShade="BF"/>
          <w:sz w:val="28"/>
          <w:szCs w:val="28"/>
        </w:rPr>
        <w:t>e utilizzazione economica.</w:t>
      </w:r>
    </w:p>
    <w:p w14:paraId="21C1CC41" w14:textId="77777777" w:rsidR="007445D8" w:rsidRDefault="008D2434" w:rsidP="003F5487">
      <w:pPr>
        <w:spacing w:after="0"/>
        <w:jc w:val="both"/>
      </w:pPr>
      <w:r>
        <w:t>I diritti di</w:t>
      </w:r>
      <w:r w:rsidR="00EE76FF">
        <w:t xml:space="preserve"> </w:t>
      </w:r>
      <w:r w:rsidR="00E4091B">
        <w:t>“</w:t>
      </w:r>
      <w:r w:rsidR="00EE76FF">
        <w:t>proprietà</w:t>
      </w:r>
      <w:r w:rsidR="00E4091B">
        <w:t xml:space="preserve"> intellettuale”</w:t>
      </w:r>
      <w:r w:rsidR="006D2961">
        <w:rPr>
          <w:rStyle w:val="Rimandonotaapidipagina"/>
        </w:rPr>
        <w:footnoteReference w:id="1"/>
      </w:r>
      <w:r w:rsidR="007445D8">
        <w:t xml:space="preserve">, </w:t>
      </w:r>
      <w:r>
        <w:t xml:space="preserve">che comprendono </w:t>
      </w:r>
      <w:r w:rsidRPr="008D2434">
        <w:t>il diritto morale di essere riconosciuto autore dell’opera o ideatore</w:t>
      </w:r>
      <w:r>
        <w:t xml:space="preserve"> dell’invenzione e i diritti patrimoniali</w:t>
      </w:r>
      <w:r w:rsidRPr="008D2434">
        <w:t xml:space="preserve"> </w:t>
      </w:r>
      <w:r w:rsidR="00073118">
        <w:t>legati</w:t>
      </w:r>
      <w:r w:rsidRPr="008D2434">
        <w:t xml:space="preserve"> allo sfruttament</w:t>
      </w:r>
      <w:r>
        <w:t>o economico del risultato dell’</w:t>
      </w:r>
      <w:r w:rsidRPr="008D2434">
        <w:t>attività creativa</w:t>
      </w:r>
      <w:r>
        <w:t xml:space="preserve">, </w:t>
      </w:r>
      <w:r w:rsidR="003B4F3B">
        <w:t>sono</w:t>
      </w:r>
      <w:r w:rsidR="00E4091B">
        <w:t xml:space="preserve"> disciplinat</w:t>
      </w:r>
      <w:r w:rsidR="003B4F3B">
        <w:t>i</w:t>
      </w:r>
      <w:r w:rsidR="00E4091B">
        <w:t xml:space="preserve"> dalla Legge sul Diritto d’Autore (</w:t>
      </w:r>
      <w:r w:rsidR="00E4091B" w:rsidRPr="00E4091B">
        <w:t>L. 633 del 22</w:t>
      </w:r>
      <w:r w:rsidR="007C3556">
        <w:t>/04/</w:t>
      </w:r>
      <w:r w:rsidR="00E4091B" w:rsidRPr="00E4091B">
        <w:t>1941</w:t>
      </w:r>
      <w:r w:rsidR="00E4091B">
        <w:t xml:space="preserve"> e s.m.i</w:t>
      </w:r>
      <w:r w:rsidR="00182662">
        <w:t>)</w:t>
      </w:r>
      <w:r w:rsidR="006D50CB">
        <w:t xml:space="preserve"> </w:t>
      </w:r>
      <w:r w:rsidR="00AE2129">
        <w:t>con riferimento</w:t>
      </w:r>
      <w:r w:rsidR="006D50CB">
        <w:t xml:space="preserve"> alle opere dell’ingegno, e dal Codice della Proprietà industriale (</w:t>
      </w:r>
      <w:r w:rsidR="00BF3464">
        <w:t>D.lgs.</w:t>
      </w:r>
      <w:r w:rsidR="00963B86">
        <w:t xml:space="preserve"> 30</w:t>
      </w:r>
      <w:r w:rsidR="00963B86" w:rsidRPr="00963B86">
        <w:t xml:space="preserve"> </w:t>
      </w:r>
      <w:r w:rsidR="00963B86">
        <w:t>del</w:t>
      </w:r>
      <w:r w:rsidR="00835148">
        <w:t xml:space="preserve"> </w:t>
      </w:r>
      <w:r w:rsidR="00963B86">
        <w:t>10</w:t>
      </w:r>
      <w:r w:rsidR="007C3556">
        <w:t>/02/</w:t>
      </w:r>
      <w:r w:rsidR="00963B86">
        <w:t>2005</w:t>
      </w:r>
      <w:r w:rsidR="006D50CB">
        <w:t xml:space="preserve">) </w:t>
      </w:r>
      <w:r w:rsidR="00F6644E">
        <w:t>per quanto attiene</w:t>
      </w:r>
      <w:r w:rsidR="002E1535">
        <w:t xml:space="preserve"> </w:t>
      </w:r>
      <w:r w:rsidR="006771E6">
        <w:t>alle</w:t>
      </w:r>
      <w:r w:rsidR="00EF76B0">
        <w:t xml:space="preserve"> invenzioni</w:t>
      </w:r>
      <w:r w:rsidR="00AF0F4C">
        <w:t xml:space="preserve"> brevettabili</w:t>
      </w:r>
      <w:r w:rsidR="00EF76B0">
        <w:t>.</w:t>
      </w:r>
    </w:p>
    <w:p w14:paraId="22C58B38" w14:textId="77777777" w:rsidR="007808BE" w:rsidRDefault="007445D8" w:rsidP="003F5487">
      <w:pPr>
        <w:spacing w:after="0"/>
        <w:jc w:val="both"/>
      </w:pPr>
      <w:r>
        <w:t xml:space="preserve">Le richiamate norme vengono in rilievo, </w:t>
      </w:r>
      <w:r w:rsidR="008C331C">
        <w:t>nel</w:t>
      </w:r>
      <w:r>
        <w:t xml:space="preserve"> contesto</w:t>
      </w:r>
      <w:r w:rsidR="008C331C">
        <w:t xml:space="preserve"> degli interventi supportati dai Fondi strutturali</w:t>
      </w:r>
      <w:r>
        <w:t>, al fine di definire a chi competono la proprietà e i connessi diritti di utilizzazione economica dei</w:t>
      </w:r>
      <w:r w:rsidRPr="007445D8">
        <w:t xml:space="preserve"> prodotti/risultati realizzati nell’ambito di attività finanziate</w:t>
      </w:r>
      <w:r>
        <w:t xml:space="preserve"> dalla pubblica amministrazione. </w:t>
      </w:r>
      <w:r w:rsidR="000C53A6" w:rsidRPr="000C53A6">
        <w:t xml:space="preserve">Di norma le condizioni applicabili in merito alla proprietà dei prodotti/risultati realizzati nell’ambito di attività finanziate </w:t>
      </w:r>
      <w:r w:rsidR="000C53A6">
        <w:t>con Fondi pubblici</w:t>
      </w:r>
      <w:r w:rsidR="000C53A6" w:rsidRPr="000C53A6">
        <w:t xml:space="preserve"> dovrebbero essere</w:t>
      </w:r>
      <w:r w:rsidR="000C53A6">
        <w:t>, infatti,</w:t>
      </w:r>
      <w:r w:rsidR="000C53A6" w:rsidRPr="000C53A6">
        <w:t xml:space="preserve"> esplicitate nei </w:t>
      </w:r>
      <w:r w:rsidR="000C53A6">
        <w:t xml:space="preserve">bandi di gara/avvisi pubblici </w:t>
      </w:r>
      <w:r w:rsidR="00744627">
        <w:t>e</w:t>
      </w:r>
      <w:r w:rsidR="000C53A6" w:rsidRPr="000C53A6">
        <w:t xml:space="preserve"> nei contratti </w:t>
      </w:r>
      <w:r w:rsidR="00744627">
        <w:t>o</w:t>
      </w:r>
      <w:r w:rsidR="000C53A6" w:rsidRPr="000C53A6">
        <w:t xml:space="preserve"> nelle convenzioni/atti unilaterali stipulati con i beneficiari/soggetti attuatori.  </w:t>
      </w:r>
    </w:p>
    <w:p w14:paraId="0F7AA044" w14:textId="77777777" w:rsidR="00B4111C" w:rsidRPr="00A83DB7" w:rsidRDefault="00B4111C" w:rsidP="003F5487">
      <w:pPr>
        <w:spacing w:after="0"/>
        <w:jc w:val="both"/>
        <w:rPr>
          <w:sz w:val="10"/>
          <w:szCs w:val="10"/>
        </w:rPr>
      </w:pPr>
    </w:p>
    <w:p w14:paraId="6E62F7AA" w14:textId="77777777" w:rsidR="00810AA5" w:rsidRDefault="00F6644E" w:rsidP="003F5487">
      <w:pPr>
        <w:spacing w:after="0"/>
        <w:jc w:val="both"/>
      </w:pPr>
      <w:r>
        <w:t>Relativamente a</w:t>
      </w:r>
      <w:r w:rsidR="00392A2D">
        <w:t xml:space="preserve">l </w:t>
      </w:r>
      <w:r w:rsidR="00392A2D" w:rsidRPr="00042611">
        <w:rPr>
          <w:u w:val="single"/>
        </w:rPr>
        <w:t>diritto d’autore</w:t>
      </w:r>
      <w:r w:rsidR="00C50EC9" w:rsidRPr="00AC60B2">
        <w:t>,</w:t>
      </w:r>
      <w:r w:rsidR="00C50EC9" w:rsidRPr="00C50EC9">
        <w:t xml:space="preserve"> soccorre in proposito il disposto dell</w:t>
      </w:r>
      <w:r w:rsidR="00392A2D" w:rsidRPr="00C50EC9">
        <w:t>’art</w:t>
      </w:r>
      <w:r w:rsidR="00392A2D" w:rsidRPr="00392A2D">
        <w:t>. 11 della citata legge</w:t>
      </w:r>
      <w:r w:rsidR="00392A2D">
        <w:t xml:space="preserve"> (L. 633/</w:t>
      </w:r>
      <w:r w:rsidR="007C3556">
        <w:t>19</w:t>
      </w:r>
      <w:r w:rsidR="00392A2D">
        <w:t>41</w:t>
      </w:r>
      <w:r w:rsidR="00E60E39">
        <w:rPr>
          <w:rStyle w:val="Rimandonotaapidipagina"/>
        </w:rPr>
        <w:footnoteReference w:id="2"/>
      </w:r>
      <w:r w:rsidR="00392A2D">
        <w:t>)</w:t>
      </w:r>
      <w:r w:rsidR="00392A2D" w:rsidRPr="00392A2D">
        <w:t xml:space="preserve"> </w:t>
      </w:r>
      <w:r w:rsidR="00C50EC9">
        <w:t xml:space="preserve">il quale </w:t>
      </w:r>
      <w:r w:rsidR="00392A2D" w:rsidRPr="00392A2D">
        <w:t>prevede che “</w:t>
      </w:r>
      <w:r w:rsidR="00392A2D" w:rsidRPr="00392A2D">
        <w:rPr>
          <w:i/>
        </w:rPr>
        <w:t>alle Amministrazioni dello Stato, alle Province ed ai Comuni spetta il diritto di autore sulle opere create e pubblicate sotto il loro nome ed a loro conto e spese.</w:t>
      </w:r>
      <w:r w:rsidR="00392A2D" w:rsidRPr="00392A2D">
        <w:t>”</w:t>
      </w:r>
    </w:p>
    <w:p w14:paraId="65C41FFA" w14:textId="77777777" w:rsidR="0085131F" w:rsidRDefault="00EF52FC" w:rsidP="00EF52FC">
      <w:pPr>
        <w:spacing w:after="0"/>
        <w:jc w:val="both"/>
      </w:pPr>
      <w:r>
        <w:t>Gli articoli successivi</w:t>
      </w:r>
      <w:r w:rsidR="00792B8B">
        <w:t xml:space="preserve"> (artt. 12-20)</w:t>
      </w:r>
      <w:r>
        <w:t xml:space="preserve"> distinguono la titolarità del diritto di utilizzazione economica (“diritto patrimoniale”), che è trasmissibile ad altri soggetti ed ha una durata limitata nel tempo, da quello connesso alla paternità dell’opera/prodotto (“diritto morale dell’autore”) che è un</w:t>
      </w:r>
      <w:r w:rsidR="00347E19">
        <w:t xml:space="preserve"> diritto assoluto, incedibile e </w:t>
      </w:r>
      <w:r>
        <w:t>illimitato nel tempo.</w:t>
      </w:r>
      <w:r w:rsidR="00CF192A">
        <w:rPr>
          <w:rStyle w:val="Rimandonotaapidipagina"/>
        </w:rPr>
        <w:footnoteReference w:id="3"/>
      </w:r>
      <w:r>
        <w:t xml:space="preserve"> </w:t>
      </w:r>
    </w:p>
    <w:p w14:paraId="300BB754" w14:textId="77777777" w:rsidR="00B4111C" w:rsidRPr="00A83DB7" w:rsidRDefault="00B4111C" w:rsidP="00EF52FC">
      <w:pPr>
        <w:spacing w:after="0"/>
        <w:jc w:val="both"/>
        <w:rPr>
          <w:sz w:val="10"/>
          <w:szCs w:val="10"/>
        </w:rPr>
      </w:pPr>
    </w:p>
    <w:p w14:paraId="4C84CE82" w14:textId="7FA60104" w:rsidR="0085131F" w:rsidRDefault="00A62934" w:rsidP="00EF52FC">
      <w:pPr>
        <w:spacing w:after="0"/>
        <w:jc w:val="both"/>
      </w:pPr>
      <w:r>
        <w:t>Ulteriori indicazioni</w:t>
      </w:r>
      <w:r w:rsidR="00AB1512">
        <w:t xml:space="preserve"> </w:t>
      </w:r>
      <w:r>
        <w:t>si rinvengono</w:t>
      </w:r>
      <w:r w:rsidR="00CE1FCF">
        <w:t>,</w:t>
      </w:r>
      <w:r>
        <w:t xml:space="preserve"> inoltre, nel </w:t>
      </w:r>
      <w:r w:rsidRPr="00050407">
        <w:t>nuovo “co</w:t>
      </w:r>
      <w:r w:rsidR="00CE1FCF" w:rsidRPr="00050407">
        <w:t>dice de</w:t>
      </w:r>
      <w:r w:rsidR="006A794B" w:rsidRPr="00050407">
        <w:t xml:space="preserve">i contratti </w:t>
      </w:r>
      <w:r w:rsidR="00CE1FCF" w:rsidRPr="00050407">
        <w:t>pubblici</w:t>
      </w:r>
      <w:r w:rsidR="00D85A62" w:rsidRPr="00050407">
        <w:t>”</w:t>
      </w:r>
      <w:r w:rsidRPr="00050407">
        <w:t xml:space="preserve"> (</w:t>
      </w:r>
      <w:r w:rsidR="00452E0E" w:rsidRPr="00050407">
        <w:t>D</w:t>
      </w:r>
      <w:r w:rsidR="006A794B" w:rsidRPr="00050407">
        <w:t xml:space="preserve">lgs 36/2023 </w:t>
      </w:r>
      <w:r w:rsidR="00ED20FF" w:rsidRPr="00050407">
        <w:t xml:space="preserve">e </w:t>
      </w:r>
      <w:proofErr w:type="spellStart"/>
      <w:r w:rsidR="00ED20FF" w:rsidRPr="00050407">
        <w:t>s.m.i</w:t>
      </w:r>
      <w:proofErr w:type="spellEnd"/>
      <w:r w:rsidRPr="00050407">
        <w:t>)</w:t>
      </w:r>
      <w:r w:rsidR="00CE1FCF" w:rsidRPr="00050407">
        <w:t>; n</w:t>
      </w:r>
      <w:r w:rsidR="006E4EE7" w:rsidRPr="00050407">
        <w:t xml:space="preserve">ello specifico </w:t>
      </w:r>
      <w:r w:rsidR="006A794B" w:rsidRPr="00050407">
        <w:t xml:space="preserve">all’art. 46 commi 3 e 4  </w:t>
      </w:r>
      <w:r w:rsidR="006E4EE7" w:rsidRPr="00050407">
        <w:t xml:space="preserve">in relazione </w:t>
      </w:r>
      <w:r w:rsidRPr="00050407">
        <w:t>ai concorsi</w:t>
      </w:r>
      <w:r w:rsidRPr="00A62934">
        <w:t xml:space="preserve"> di progettazione e a quelli di idee </w:t>
      </w:r>
      <w:r w:rsidR="00625FE0">
        <w:t>riconosc</w:t>
      </w:r>
      <w:r w:rsidR="006E4EE7">
        <w:t>ono</w:t>
      </w:r>
      <w:r w:rsidRPr="00A62934">
        <w:t xml:space="preserve"> </w:t>
      </w:r>
      <w:r w:rsidR="00681630">
        <w:t xml:space="preserve">in capo alla </w:t>
      </w:r>
      <w:r w:rsidR="00681630" w:rsidRPr="00A62934">
        <w:t>stazione appaltante</w:t>
      </w:r>
      <w:r w:rsidR="006E4EE7">
        <w:t>, a fronte del pagamento del premio,</w:t>
      </w:r>
      <w:r w:rsidR="00681630">
        <w:t xml:space="preserve"> </w:t>
      </w:r>
      <w:r w:rsidR="00397431">
        <w:t xml:space="preserve">la proprietà </w:t>
      </w:r>
      <w:r w:rsidRPr="00A62934">
        <w:t>del progetto</w:t>
      </w:r>
      <w:r w:rsidR="00437B0F">
        <w:t>/idea premiata</w:t>
      </w:r>
      <w:r w:rsidRPr="00A62934">
        <w:t>.</w:t>
      </w:r>
    </w:p>
    <w:p w14:paraId="1DF32586" w14:textId="77777777" w:rsidR="00B4111C" w:rsidRPr="00A83DB7" w:rsidRDefault="00B4111C" w:rsidP="00EF52FC">
      <w:pPr>
        <w:spacing w:after="0"/>
        <w:jc w:val="both"/>
        <w:rPr>
          <w:sz w:val="10"/>
          <w:szCs w:val="10"/>
        </w:rPr>
      </w:pPr>
    </w:p>
    <w:p w14:paraId="13F3466C" w14:textId="77777777" w:rsidR="0085131F" w:rsidRDefault="00F9371F" w:rsidP="005E2DC2">
      <w:pPr>
        <w:spacing w:after="0"/>
        <w:jc w:val="both"/>
      </w:pPr>
      <w:r>
        <w:t>Per quanto riguarda</w:t>
      </w:r>
      <w:r w:rsidR="00B47EB3">
        <w:t>,</w:t>
      </w:r>
      <w:r w:rsidR="00B70360">
        <w:t xml:space="preserve"> invece</w:t>
      </w:r>
      <w:r w:rsidR="00B47EB3">
        <w:t>,</w:t>
      </w:r>
      <w:r w:rsidR="00EA6A76">
        <w:t xml:space="preserve"> </w:t>
      </w:r>
      <w:r>
        <w:t xml:space="preserve">la </w:t>
      </w:r>
      <w:r w:rsidRPr="00AC60B2">
        <w:rPr>
          <w:u w:val="single"/>
        </w:rPr>
        <w:t>titolarità dei diritti derivanti</w:t>
      </w:r>
      <w:r w:rsidR="001974CD" w:rsidRPr="00AC60B2">
        <w:rPr>
          <w:u w:val="single"/>
        </w:rPr>
        <w:t xml:space="preserve"> </w:t>
      </w:r>
      <w:r w:rsidRPr="00AC60B2">
        <w:rPr>
          <w:u w:val="single"/>
        </w:rPr>
        <w:t>d</w:t>
      </w:r>
      <w:r w:rsidR="0011053A" w:rsidRPr="00AC60B2">
        <w:rPr>
          <w:u w:val="single"/>
        </w:rPr>
        <w:t>al</w:t>
      </w:r>
      <w:r w:rsidR="007B4176" w:rsidRPr="00AC60B2">
        <w:rPr>
          <w:u w:val="single"/>
        </w:rPr>
        <w:t>le</w:t>
      </w:r>
      <w:r w:rsidR="00EB1160" w:rsidRPr="00AC60B2">
        <w:rPr>
          <w:u w:val="single"/>
        </w:rPr>
        <w:t xml:space="preserve"> invenzioni</w:t>
      </w:r>
      <w:r w:rsidR="00EB1160">
        <w:t xml:space="preserve"> </w:t>
      </w:r>
      <w:r w:rsidR="00EB1160" w:rsidRPr="00EB1160">
        <w:t>realizzate nell'ambito di specifici progetti di ricerca</w:t>
      </w:r>
      <w:r w:rsidR="00E248A6">
        <w:t>,</w:t>
      </w:r>
      <w:r w:rsidR="00EB1160" w:rsidRPr="00EB1160">
        <w:t xml:space="preserve"> finanziati da soggetti pubblici </w:t>
      </w:r>
      <w:r w:rsidR="00BC55CF">
        <w:t xml:space="preserve">diversi </w:t>
      </w:r>
      <w:r w:rsidR="00C82C75">
        <w:t>dall’università</w:t>
      </w:r>
      <w:r w:rsidR="00BC55CF">
        <w:t xml:space="preserve"> </w:t>
      </w:r>
      <w:r w:rsidR="00EB1160" w:rsidRPr="00EB1160">
        <w:t>di appartenenza del ricercatore</w:t>
      </w:r>
      <w:r w:rsidR="007B4176">
        <w:t xml:space="preserve"> autore dell</w:t>
      </w:r>
      <w:r w:rsidR="00A24AED">
        <w:t>’invenzione</w:t>
      </w:r>
      <w:r w:rsidR="0059326A">
        <w:t>,</w:t>
      </w:r>
      <w:r w:rsidR="007B4176">
        <w:t xml:space="preserve"> </w:t>
      </w:r>
      <w:r w:rsidR="00F57ACC">
        <w:t>si applicano</w:t>
      </w:r>
      <w:r w:rsidR="007B4176">
        <w:t xml:space="preserve"> le disposizioni di cui all’art.</w:t>
      </w:r>
      <w:r w:rsidR="001854FA">
        <w:t xml:space="preserve"> </w:t>
      </w:r>
      <w:r w:rsidR="007B4176">
        <w:t>65 co. 5 del</w:t>
      </w:r>
      <w:r w:rsidR="00422710" w:rsidRPr="00422710">
        <w:t xml:space="preserve"> </w:t>
      </w:r>
      <w:r w:rsidR="00BF3464">
        <w:t>D.lgs.</w:t>
      </w:r>
      <w:r w:rsidR="00422710">
        <w:t xml:space="preserve"> </w:t>
      </w:r>
      <w:r w:rsidR="00422710" w:rsidRPr="00422710">
        <w:t>30</w:t>
      </w:r>
      <w:r w:rsidR="00422710">
        <w:t>/2005</w:t>
      </w:r>
      <w:r w:rsidR="00422710" w:rsidRPr="00422710">
        <w:t xml:space="preserve"> </w:t>
      </w:r>
      <w:r w:rsidR="00422710">
        <w:t>(</w:t>
      </w:r>
      <w:r w:rsidR="007B4176">
        <w:t>Cod</w:t>
      </w:r>
      <w:r w:rsidR="00831F21">
        <w:t xml:space="preserve">ice della proprietà </w:t>
      </w:r>
      <w:r w:rsidR="00422710">
        <w:t>industriale)</w:t>
      </w:r>
      <w:r w:rsidR="007B4176">
        <w:t xml:space="preserve"> </w:t>
      </w:r>
      <w:r w:rsidR="00BD57AE">
        <w:t xml:space="preserve">che </w:t>
      </w:r>
      <w:r w:rsidR="00797BFF">
        <w:t>demanda</w:t>
      </w:r>
      <w:r w:rsidR="00674CAE">
        <w:t>no</w:t>
      </w:r>
      <w:r w:rsidR="00BD57AE">
        <w:t xml:space="preserve"> agli accordi tra Università/Ente di Ricerca e Finanziatore la </w:t>
      </w:r>
      <w:r>
        <w:t xml:space="preserve">relativa </w:t>
      </w:r>
      <w:r w:rsidR="00BD57AE">
        <w:t>regolamentazione</w:t>
      </w:r>
      <w:r w:rsidR="00EB1160" w:rsidRPr="00EB1160">
        <w:t>.</w:t>
      </w:r>
    </w:p>
    <w:p w14:paraId="76E14E4F" w14:textId="77777777" w:rsidR="00B4111C" w:rsidRPr="00A83DB7" w:rsidRDefault="00B4111C" w:rsidP="005E2DC2">
      <w:pPr>
        <w:spacing w:after="0"/>
        <w:jc w:val="both"/>
        <w:rPr>
          <w:sz w:val="10"/>
          <w:szCs w:val="10"/>
        </w:rPr>
      </w:pPr>
    </w:p>
    <w:p w14:paraId="3C862BEE" w14:textId="77777777" w:rsidR="00561984" w:rsidRPr="009C7AA8" w:rsidRDefault="00A93889" w:rsidP="00334E4F">
      <w:pPr>
        <w:spacing w:after="0"/>
        <w:jc w:val="both"/>
      </w:pPr>
      <w:r>
        <w:t>Dal</w:t>
      </w:r>
      <w:r w:rsidR="008B1F4C" w:rsidRPr="009C7AA8">
        <w:t xml:space="preserve"> </w:t>
      </w:r>
      <w:r w:rsidR="00A6111D" w:rsidRPr="009C7AA8">
        <w:t xml:space="preserve">richiamato </w:t>
      </w:r>
      <w:r w:rsidR="008B1F4C" w:rsidRPr="009C7AA8">
        <w:t>quadro normativo</w:t>
      </w:r>
      <w:r w:rsidR="00E47FD8">
        <w:t xml:space="preserve"> </w:t>
      </w:r>
      <w:r w:rsidR="00B03ABF">
        <w:t>ne discende</w:t>
      </w:r>
      <w:r>
        <w:t>, pertanto,</w:t>
      </w:r>
      <w:r w:rsidR="00E475D9">
        <w:t xml:space="preserve"> </w:t>
      </w:r>
      <w:r w:rsidR="00F43735" w:rsidRPr="009C7AA8">
        <w:t>che</w:t>
      </w:r>
      <w:r w:rsidR="00561984" w:rsidRPr="009C7AA8">
        <w:t xml:space="preserve"> nel caso di acquisizione di servizi tramite </w:t>
      </w:r>
      <w:r w:rsidR="00561984" w:rsidRPr="00392C6D">
        <w:rPr>
          <w:b/>
        </w:rPr>
        <w:t>gara di appalto</w:t>
      </w:r>
      <w:r w:rsidR="00561984" w:rsidRPr="009C7AA8">
        <w:t xml:space="preserve"> (es. Assistenza Tecnica</w:t>
      </w:r>
      <w:r w:rsidR="000B6195" w:rsidRPr="009C7AA8">
        <w:t>, servizi di ricerca</w:t>
      </w:r>
      <w:r w:rsidR="000C5DC5">
        <w:t>, servizi di comunicazione</w:t>
      </w:r>
      <w:r w:rsidR="004F5D6F">
        <w:t xml:space="preserve"> ecc.</w:t>
      </w:r>
      <w:r w:rsidR="00561984" w:rsidRPr="009C7AA8">
        <w:t>)</w:t>
      </w:r>
      <w:r w:rsidR="00436965">
        <w:t xml:space="preserve"> </w:t>
      </w:r>
      <w:r w:rsidR="00561984" w:rsidRPr="009C7AA8">
        <w:t>i documenti, i prodotti e i risultati, comprensivi delle eventuali applicazioni software, conseguiti nella realizzazione delle attività previste nel capitolato di gara</w:t>
      </w:r>
      <w:r w:rsidR="00757E47" w:rsidRPr="009C7AA8">
        <w:t>,</w:t>
      </w:r>
      <w:r w:rsidR="00561984" w:rsidRPr="009C7AA8">
        <w:t xml:space="preserve"> sono di proprietà esclu</w:t>
      </w:r>
      <w:r w:rsidR="0050227D">
        <w:t>siva dell’amministrazione. All’a</w:t>
      </w:r>
      <w:r w:rsidR="00561984" w:rsidRPr="009C7AA8">
        <w:t>mministrazione spetta inoltre il diritto all’ utilizzazione economica degli stessi</w:t>
      </w:r>
      <w:r w:rsidR="00A70504">
        <w:rPr>
          <w:rStyle w:val="Rimandonotaapidipagina"/>
        </w:rPr>
        <w:footnoteReference w:id="4"/>
      </w:r>
      <w:r w:rsidR="00561984" w:rsidRPr="009C7AA8">
        <w:t xml:space="preserve">. </w:t>
      </w:r>
    </w:p>
    <w:p w14:paraId="02500D6D" w14:textId="77777777" w:rsidR="009B2696" w:rsidRDefault="00E47971" w:rsidP="00334E4F">
      <w:pPr>
        <w:spacing w:after="0"/>
        <w:jc w:val="both"/>
      </w:pPr>
      <w:r>
        <w:lastRenderedPageBreak/>
        <w:t>In analogia</w:t>
      </w:r>
      <w:r w:rsidR="002040CC">
        <w:t xml:space="preserve"> n</w:t>
      </w:r>
      <w:r w:rsidR="008677D5" w:rsidRPr="00400E11">
        <w:t xml:space="preserve">egli </w:t>
      </w:r>
      <w:r w:rsidR="008677D5" w:rsidRPr="00392C6D">
        <w:rPr>
          <w:b/>
        </w:rPr>
        <w:t>affidamenti in regime concessorio</w:t>
      </w:r>
      <w:r w:rsidR="0025467D" w:rsidRPr="00352391">
        <w:t>,</w:t>
      </w:r>
      <w:r w:rsidR="0025467D">
        <w:rPr>
          <w:b/>
        </w:rPr>
        <w:t xml:space="preserve"> </w:t>
      </w:r>
      <w:r w:rsidR="0025467D" w:rsidRPr="0025467D">
        <w:t>in considerazione di quanto sancito dall’art. 11 della L. 633/41</w:t>
      </w:r>
      <w:r w:rsidR="0025467D">
        <w:t>,</w:t>
      </w:r>
      <w:r w:rsidR="0025467D">
        <w:rPr>
          <w:b/>
        </w:rPr>
        <w:t xml:space="preserve"> </w:t>
      </w:r>
      <w:r w:rsidR="006D5E85" w:rsidRPr="00400E11">
        <w:t>la</w:t>
      </w:r>
      <w:r w:rsidR="000F7E24" w:rsidRPr="00400E11">
        <w:t xml:space="preserve"> </w:t>
      </w:r>
      <w:r w:rsidR="000F7E24" w:rsidRPr="0012679B">
        <w:rPr>
          <w:u w:val="single"/>
        </w:rPr>
        <w:t>proprietà</w:t>
      </w:r>
      <w:r w:rsidR="00D40047" w:rsidRPr="0012679B">
        <w:rPr>
          <w:u w:val="single"/>
        </w:rPr>
        <w:t xml:space="preserve"> </w:t>
      </w:r>
      <w:r w:rsidR="003C3C20" w:rsidRPr="0012679B">
        <w:rPr>
          <w:u w:val="single"/>
        </w:rPr>
        <w:t>de</w:t>
      </w:r>
      <w:r w:rsidR="00BE7BCA" w:rsidRPr="0012679B">
        <w:rPr>
          <w:u w:val="single"/>
        </w:rPr>
        <w:t>i prodotti</w:t>
      </w:r>
      <w:r w:rsidR="00BF5383">
        <w:t xml:space="preserve"> (es. rapporti di ricerca ed altri documenti allegati, tesi di dottorato</w:t>
      </w:r>
      <w:r w:rsidR="00AE150F">
        <w:rPr>
          <w:rStyle w:val="Rimandonotaapidipagina"/>
        </w:rPr>
        <w:footnoteReference w:id="5"/>
      </w:r>
      <w:r w:rsidR="00BF5383">
        <w:t>, cd Rom</w:t>
      </w:r>
      <w:r w:rsidR="0005108D">
        <w:t xml:space="preserve"> con gli elaborati prodotti dai partecipanti all’intervento,</w:t>
      </w:r>
      <w:r w:rsidR="000C2188">
        <w:t xml:space="preserve"> video,</w:t>
      </w:r>
      <w:r w:rsidR="00BF5383">
        <w:t xml:space="preserve"> ecc.)</w:t>
      </w:r>
      <w:r w:rsidR="00F44830" w:rsidRPr="00400E11">
        <w:t xml:space="preserve"> realizzati</w:t>
      </w:r>
      <w:r w:rsidR="00BE7BCA" w:rsidRPr="00400E11">
        <w:t xml:space="preserve"> nel corso </w:t>
      </w:r>
      <w:r w:rsidR="00A47DE0" w:rsidRPr="00400E11">
        <w:t xml:space="preserve">dell’attività </w:t>
      </w:r>
      <w:r w:rsidR="00C3189A" w:rsidRPr="00400E11">
        <w:t>finanziat</w:t>
      </w:r>
      <w:r w:rsidR="00A47DE0" w:rsidRPr="00400E11">
        <w:t>a</w:t>
      </w:r>
      <w:r w:rsidR="00BE7BCA" w:rsidRPr="00400E11">
        <w:t xml:space="preserve"> </w:t>
      </w:r>
      <w:r w:rsidR="002A1EFA" w:rsidRPr="00400E11">
        <w:t>spetta</w:t>
      </w:r>
      <w:r w:rsidR="003C3C20" w:rsidRPr="00400E11">
        <w:t xml:space="preserve"> </w:t>
      </w:r>
      <w:r w:rsidR="002A1EFA" w:rsidRPr="00400E11">
        <w:t>all’amministrazione</w:t>
      </w:r>
      <w:r w:rsidR="001544C9">
        <w:t xml:space="preserve">. </w:t>
      </w:r>
      <w:r w:rsidR="002040CC">
        <w:t xml:space="preserve"> </w:t>
      </w:r>
      <w:r w:rsidR="001544C9">
        <w:t>Alla stessa competono</w:t>
      </w:r>
      <w:r w:rsidR="00D507DD">
        <w:t>,</w:t>
      </w:r>
      <w:r w:rsidR="001544C9">
        <w:t xml:space="preserve"> altresì</w:t>
      </w:r>
      <w:r w:rsidR="00D507DD">
        <w:t>,</w:t>
      </w:r>
      <w:r w:rsidR="001544C9">
        <w:t xml:space="preserve"> </w:t>
      </w:r>
      <w:r w:rsidR="002040CC">
        <w:t>i diritti di utilizzazione economica</w:t>
      </w:r>
      <w:r w:rsidR="00056E71">
        <w:t>,</w:t>
      </w:r>
      <w:r w:rsidR="001544C9">
        <w:t xml:space="preserve"> </w:t>
      </w:r>
      <w:r w:rsidR="001809BF" w:rsidRPr="001809BF">
        <w:t>trattandosi di prodotti realizzati attraverso contributi pubblici</w:t>
      </w:r>
      <w:r w:rsidR="00056E71">
        <w:t>, mentre</w:t>
      </w:r>
      <w:r w:rsidR="001809BF">
        <w:t xml:space="preserve"> </w:t>
      </w:r>
      <w:r w:rsidR="001544C9">
        <w:t>resta</w:t>
      </w:r>
      <w:r w:rsidR="006C1164">
        <w:t xml:space="preserve"> </w:t>
      </w:r>
      <w:r w:rsidR="00056E71">
        <w:t>in capo all’autore</w:t>
      </w:r>
      <w:r w:rsidR="006C1164">
        <w:t xml:space="preserve"> </w:t>
      </w:r>
      <w:r w:rsidR="006C1164" w:rsidRPr="002F3879">
        <w:t xml:space="preserve">il diritto morale </w:t>
      </w:r>
      <w:r w:rsidR="002F3879" w:rsidRPr="002F3879">
        <w:t xml:space="preserve">ad essere riconosciuto </w:t>
      </w:r>
      <w:r w:rsidR="0025384A">
        <w:t>ideatore dell’opera</w:t>
      </w:r>
      <w:r w:rsidR="002F3879">
        <w:t>.</w:t>
      </w:r>
    </w:p>
    <w:p w14:paraId="541FB868" w14:textId="77777777" w:rsidR="00241016" w:rsidRDefault="00537904" w:rsidP="00241016">
      <w:pPr>
        <w:spacing w:after="0"/>
        <w:jc w:val="both"/>
      </w:pPr>
      <w:r>
        <w:t xml:space="preserve">I </w:t>
      </w:r>
      <w:r w:rsidR="00F067FE">
        <w:t>beneficiari</w:t>
      </w:r>
      <w:r w:rsidR="00534A1B" w:rsidRPr="00400E11">
        <w:t>/soggetti attuatori</w:t>
      </w:r>
      <w:r w:rsidR="00B2330A">
        <w:t xml:space="preserve"> potranno </w:t>
      </w:r>
      <w:r>
        <w:t xml:space="preserve">utilizzare </w:t>
      </w:r>
      <w:r w:rsidR="002F3879">
        <w:t xml:space="preserve">i </w:t>
      </w:r>
      <w:r w:rsidR="00087C40" w:rsidRPr="00400E11">
        <w:t xml:space="preserve">sopra citati </w:t>
      </w:r>
      <w:r w:rsidR="00F067FE">
        <w:t>prodotti</w:t>
      </w:r>
      <w:r w:rsidR="00432B0A">
        <w:t xml:space="preserve">, </w:t>
      </w:r>
      <w:r w:rsidR="00F067FE">
        <w:t xml:space="preserve">sia per scopi </w:t>
      </w:r>
      <w:r w:rsidR="00534A1B" w:rsidRPr="00400E11">
        <w:t>intern</w:t>
      </w:r>
      <w:r w:rsidR="00F067FE">
        <w:t xml:space="preserve">i </w:t>
      </w:r>
      <w:r w:rsidR="002F3879">
        <w:t xml:space="preserve">che </w:t>
      </w:r>
      <w:r w:rsidR="00F067FE" w:rsidRPr="00400E11">
        <w:t>per fini di diffusione/promozione</w:t>
      </w:r>
      <w:r w:rsidR="00432B0A">
        <w:t>,</w:t>
      </w:r>
      <w:r w:rsidR="00534A1B" w:rsidRPr="00400E11">
        <w:t xml:space="preserve"> </w:t>
      </w:r>
      <w:r>
        <w:t>previa autorizzazione da parte della PA e</w:t>
      </w:r>
      <w:r w:rsidR="008061C7" w:rsidRPr="00400E11">
        <w:t xml:space="preserve"> condivi</w:t>
      </w:r>
      <w:r>
        <w:t>dendone con quest’ultima</w:t>
      </w:r>
      <w:r w:rsidR="0065696A">
        <w:t xml:space="preserve"> modalità e termini</w:t>
      </w:r>
      <w:r w:rsidR="00302BF0">
        <w:t xml:space="preserve"> </w:t>
      </w:r>
      <w:r>
        <w:t xml:space="preserve">di </w:t>
      </w:r>
      <w:r w:rsidR="00191ACE">
        <w:t>impiego</w:t>
      </w:r>
      <w:r w:rsidR="008061C7" w:rsidRPr="00400E11">
        <w:t>.</w:t>
      </w:r>
    </w:p>
    <w:p w14:paraId="5FF25542" w14:textId="77777777" w:rsidR="008D6DB0" w:rsidRPr="008D6DB0" w:rsidRDefault="008D6DB0" w:rsidP="00241016">
      <w:pPr>
        <w:spacing w:after="0"/>
        <w:jc w:val="both"/>
        <w:rPr>
          <w:sz w:val="10"/>
          <w:szCs w:val="10"/>
        </w:rPr>
      </w:pPr>
    </w:p>
    <w:p w14:paraId="6EBDAFE6" w14:textId="77777777" w:rsidR="00F01DCA" w:rsidRDefault="00B74EF3" w:rsidP="00241016">
      <w:pPr>
        <w:spacing w:after="0"/>
        <w:jc w:val="both"/>
      </w:pPr>
      <w:r>
        <w:t>Nel caso di</w:t>
      </w:r>
      <w:r w:rsidR="00DC3B89">
        <w:t xml:space="preserve"> sovvenzioni erogate per la realizzazioni di</w:t>
      </w:r>
      <w:r>
        <w:t xml:space="preserve"> progetti</w:t>
      </w:r>
      <w:r w:rsidR="00EC65A2">
        <w:t xml:space="preserve"> di ricerca</w:t>
      </w:r>
      <w:r w:rsidR="00D37484">
        <w:t xml:space="preserve"> (Assegni</w:t>
      </w:r>
      <w:r>
        <w:t>,</w:t>
      </w:r>
      <w:r w:rsidR="00D37484">
        <w:t xml:space="preserve"> borse di ricerca ecc.)</w:t>
      </w:r>
      <w:r>
        <w:t xml:space="preserve"> i diritti di </w:t>
      </w:r>
      <w:r w:rsidRPr="00EC65A2">
        <w:rPr>
          <w:u w:val="single"/>
        </w:rPr>
        <w:t>proprietà</w:t>
      </w:r>
      <w:r>
        <w:t xml:space="preserve">, di </w:t>
      </w:r>
      <w:r w:rsidRPr="0012679B">
        <w:rPr>
          <w:u w:val="single"/>
        </w:rPr>
        <w:t>sfruttamento economico e</w:t>
      </w:r>
      <w:r w:rsidR="006D36ED" w:rsidRPr="0012679B">
        <w:rPr>
          <w:u w:val="single"/>
        </w:rPr>
        <w:t xml:space="preserve"> di utilizzo </w:t>
      </w:r>
      <w:r w:rsidRPr="0012679B">
        <w:rPr>
          <w:u w:val="single"/>
        </w:rPr>
        <w:t>delle invenzioni</w:t>
      </w:r>
      <w:r w:rsidRPr="00726E84">
        <w:rPr>
          <w:u w:val="single"/>
        </w:rPr>
        <w:t xml:space="preserve"> brevettabili</w:t>
      </w:r>
      <w:r w:rsidR="00E15E18">
        <w:rPr>
          <w:u w:val="single"/>
        </w:rPr>
        <w:t>,</w:t>
      </w:r>
      <w:r>
        <w:t xml:space="preserve"> </w:t>
      </w:r>
      <w:r w:rsidR="00223AD2">
        <w:t>che dovessero</w:t>
      </w:r>
      <w:r w:rsidR="00302BF0">
        <w:t xml:space="preserve"> </w:t>
      </w:r>
      <w:r w:rsidR="00223AD2">
        <w:t>scaturir</w:t>
      </w:r>
      <w:r w:rsidR="00302BF0">
        <w:t>e</w:t>
      </w:r>
      <w:r>
        <w:t xml:space="preserve"> dalla ricerca</w:t>
      </w:r>
      <w:r w:rsidR="00C409C6">
        <w:t>,</w:t>
      </w:r>
      <w:r>
        <w:t xml:space="preserve"> </w:t>
      </w:r>
      <w:r w:rsidR="006108A2">
        <w:t>spettanti all’Università</w:t>
      </w:r>
      <w:r w:rsidR="00270DBD">
        <w:t>/Ente di ricerca</w:t>
      </w:r>
      <w:r w:rsidR="006108A2">
        <w:t xml:space="preserve"> e all’amministrazione finanziatrice saranno stabiliti da</w:t>
      </w:r>
      <w:r w:rsidR="002509FF">
        <w:t>lle</w:t>
      </w:r>
      <w:r w:rsidR="006108A2">
        <w:t xml:space="preserve"> </w:t>
      </w:r>
      <w:r w:rsidR="00270DBD">
        <w:t>parti</w:t>
      </w:r>
      <w:r w:rsidR="006108A2">
        <w:t xml:space="preserve"> negozialmente. </w:t>
      </w:r>
    </w:p>
    <w:p w14:paraId="7E11EC1C" w14:textId="77777777" w:rsidR="006108A2" w:rsidRDefault="009135A5" w:rsidP="00241016">
      <w:pPr>
        <w:spacing w:after="0"/>
        <w:jc w:val="both"/>
      </w:pPr>
      <w:r>
        <w:t xml:space="preserve">Potrà essere quindi </w:t>
      </w:r>
      <w:r w:rsidR="00F67B3B">
        <w:t>pattuita</w:t>
      </w:r>
      <w:r>
        <w:t xml:space="preserve"> una titolarità esclusiva della PA</w:t>
      </w:r>
      <w:r w:rsidR="00FF5679">
        <w:t xml:space="preserve"> che ha finanziato la ricerca</w:t>
      </w:r>
      <w:r>
        <w:t>, ovvero una contitolarità tra le parti o ancora una titolarità esclusiva dell’Università</w:t>
      </w:r>
      <w:r w:rsidR="00C0772F">
        <w:t>/Ente</w:t>
      </w:r>
      <w:r>
        <w:t xml:space="preserve"> che </w:t>
      </w:r>
      <w:r w:rsidR="00FF5679">
        <w:t>l’ha realizzata</w:t>
      </w:r>
      <w:r>
        <w:t xml:space="preserve">. </w:t>
      </w:r>
    </w:p>
    <w:sectPr w:rsidR="006108A2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41BC3" w14:textId="77777777" w:rsidR="004C6E80" w:rsidRDefault="004C6E80" w:rsidP="006D2961">
      <w:pPr>
        <w:spacing w:after="0" w:line="240" w:lineRule="auto"/>
      </w:pPr>
      <w:r>
        <w:separator/>
      </w:r>
    </w:p>
  </w:endnote>
  <w:endnote w:type="continuationSeparator" w:id="0">
    <w:p w14:paraId="0DE01A20" w14:textId="77777777" w:rsidR="004C6E80" w:rsidRDefault="004C6E80" w:rsidP="006D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7527315"/>
      <w:docPartObj>
        <w:docPartGallery w:val="Page Numbers (Bottom of Page)"/>
        <w:docPartUnique/>
      </w:docPartObj>
    </w:sdtPr>
    <w:sdtEndPr/>
    <w:sdtContent>
      <w:p w14:paraId="4AE7284A" w14:textId="77777777" w:rsidR="00AC60B2" w:rsidRDefault="00AC60B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464">
          <w:rPr>
            <w:noProof/>
          </w:rPr>
          <w:t>2</w:t>
        </w:r>
        <w:r>
          <w:fldChar w:fldCharType="end"/>
        </w:r>
      </w:p>
    </w:sdtContent>
  </w:sdt>
  <w:p w14:paraId="21018F0D" w14:textId="77777777" w:rsidR="00587EA6" w:rsidRDefault="00587EA6" w:rsidP="007C3556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46669" w14:textId="77777777" w:rsidR="004C6E80" w:rsidRDefault="004C6E80" w:rsidP="006D2961">
      <w:pPr>
        <w:spacing w:after="0" w:line="240" w:lineRule="auto"/>
      </w:pPr>
      <w:r>
        <w:separator/>
      </w:r>
    </w:p>
  </w:footnote>
  <w:footnote w:type="continuationSeparator" w:id="0">
    <w:p w14:paraId="3DCD9B98" w14:textId="77777777" w:rsidR="004C6E80" w:rsidRDefault="004C6E80" w:rsidP="006D2961">
      <w:pPr>
        <w:spacing w:after="0" w:line="240" w:lineRule="auto"/>
      </w:pPr>
      <w:r>
        <w:continuationSeparator/>
      </w:r>
    </w:p>
  </w:footnote>
  <w:footnote w:id="1">
    <w:p w14:paraId="24D57BA4" w14:textId="77777777" w:rsidR="006D2961" w:rsidRPr="007C3556" w:rsidRDefault="006D2961" w:rsidP="007C3556">
      <w:pPr>
        <w:pStyle w:val="Testonotaapidipagina"/>
        <w:ind w:left="142" w:hanging="142"/>
        <w:jc w:val="both"/>
        <w:rPr>
          <w:sz w:val="18"/>
          <w:szCs w:val="14"/>
        </w:rPr>
      </w:pPr>
      <w:r w:rsidRPr="007C3556">
        <w:rPr>
          <w:rStyle w:val="Rimandonotaapidipagina"/>
          <w:sz w:val="18"/>
          <w:szCs w:val="14"/>
        </w:rPr>
        <w:footnoteRef/>
      </w:r>
      <w:r w:rsidRPr="007C3556">
        <w:rPr>
          <w:rStyle w:val="Rimandonotaapidipagina"/>
          <w:sz w:val="18"/>
          <w:szCs w:val="14"/>
        </w:rPr>
        <w:t xml:space="preserve"> </w:t>
      </w:r>
      <w:r w:rsidRPr="007C3556">
        <w:rPr>
          <w:sz w:val="18"/>
          <w:szCs w:val="14"/>
        </w:rPr>
        <w:t xml:space="preserve">Tradizionalmente, la dicitura "proprietà intellettuale" indica un sistema di tutela giuridica dei beni </w:t>
      </w:r>
      <w:r w:rsidR="00CC11A7" w:rsidRPr="007C3556">
        <w:rPr>
          <w:sz w:val="18"/>
          <w:szCs w:val="14"/>
        </w:rPr>
        <w:t xml:space="preserve">materiali e </w:t>
      </w:r>
      <w:r w:rsidRPr="007C3556">
        <w:rPr>
          <w:sz w:val="18"/>
          <w:szCs w:val="14"/>
        </w:rPr>
        <w:t xml:space="preserve">immateriali che </w:t>
      </w:r>
      <w:r w:rsidR="00CC11A7" w:rsidRPr="007C3556">
        <w:rPr>
          <w:sz w:val="18"/>
          <w:szCs w:val="14"/>
        </w:rPr>
        <w:t>sono</w:t>
      </w:r>
      <w:r w:rsidRPr="007C3556">
        <w:rPr>
          <w:sz w:val="18"/>
          <w:szCs w:val="14"/>
        </w:rPr>
        <w:t xml:space="preserve"> frutt</w:t>
      </w:r>
      <w:r w:rsidR="00CC11A7" w:rsidRPr="007C3556">
        <w:rPr>
          <w:sz w:val="18"/>
          <w:szCs w:val="14"/>
        </w:rPr>
        <w:t>o</w:t>
      </w:r>
      <w:r w:rsidRPr="007C3556">
        <w:rPr>
          <w:sz w:val="18"/>
          <w:szCs w:val="14"/>
        </w:rPr>
        <w:t xml:space="preserve"> dell'attività creativa/inventiva umana come ad esempio le opere </w:t>
      </w:r>
      <w:r w:rsidR="00CC11A7" w:rsidRPr="007C3556">
        <w:rPr>
          <w:sz w:val="18"/>
          <w:szCs w:val="14"/>
        </w:rPr>
        <w:t>scientifiche</w:t>
      </w:r>
      <w:r w:rsidRPr="007C3556">
        <w:rPr>
          <w:sz w:val="18"/>
          <w:szCs w:val="14"/>
        </w:rPr>
        <w:t>, le invenzioni industriali e i modelli di utilità, il design, i marchi. Quindi, al concetto di proprietà intellettuale fanno capo le tre grandi aree del diritto d'autore, del diritto dei brevetti e del diritto dei marchi.</w:t>
      </w:r>
    </w:p>
  </w:footnote>
  <w:footnote w:id="2">
    <w:p w14:paraId="2CF500B2" w14:textId="77777777" w:rsidR="00E60E39" w:rsidRPr="007C3556" w:rsidRDefault="00E60E39" w:rsidP="007C3556">
      <w:pPr>
        <w:pStyle w:val="Testonotaapidipagina"/>
        <w:ind w:left="142" w:hanging="142"/>
        <w:jc w:val="both"/>
        <w:rPr>
          <w:sz w:val="18"/>
          <w:szCs w:val="14"/>
        </w:rPr>
      </w:pPr>
      <w:r w:rsidRPr="007C3556">
        <w:rPr>
          <w:rStyle w:val="Rimandonotaapidipagina"/>
          <w:sz w:val="18"/>
          <w:szCs w:val="14"/>
        </w:rPr>
        <w:footnoteRef/>
      </w:r>
      <w:r w:rsidRPr="007C3556">
        <w:rPr>
          <w:sz w:val="18"/>
          <w:szCs w:val="14"/>
        </w:rPr>
        <w:t xml:space="preserve"> </w:t>
      </w:r>
      <w:r w:rsidR="00B44450" w:rsidRPr="007C3556">
        <w:rPr>
          <w:sz w:val="18"/>
          <w:szCs w:val="14"/>
        </w:rPr>
        <w:t>La legge sul diritto d’autore tutela le opere dell'ingegno di carattere creativo</w:t>
      </w:r>
      <w:r w:rsidR="00BB010E" w:rsidRPr="007C3556">
        <w:rPr>
          <w:sz w:val="18"/>
          <w:szCs w:val="14"/>
        </w:rPr>
        <w:t>.</w:t>
      </w:r>
      <w:r w:rsidR="00B44450" w:rsidRPr="007C3556">
        <w:rPr>
          <w:sz w:val="18"/>
          <w:szCs w:val="14"/>
        </w:rPr>
        <w:t xml:space="preserve"> </w:t>
      </w:r>
      <w:r w:rsidR="00BB010E" w:rsidRPr="007C3556">
        <w:rPr>
          <w:sz w:val="18"/>
          <w:szCs w:val="14"/>
        </w:rPr>
        <w:t>N</w:t>
      </w:r>
      <w:r w:rsidR="00B44450" w:rsidRPr="007C3556">
        <w:rPr>
          <w:sz w:val="18"/>
          <w:szCs w:val="14"/>
        </w:rPr>
        <w:t xml:space="preserve">ella protezione sono </w:t>
      </w:r>
      <w:r w:rsidR="00BB010E" w:rsidRPr="007C3556">
        <w:rPr>
          <w:sz w:val="18"/>
          <w:szCs w:val="14"/>
        </w:rPr>
        <w:t xml:space="preserve">in particolare </w:t>
      </w:r>
      <w:r w:rsidR="00B44450" w:rsidRPr="007C3556">
        <w:rPr>
          <w:sz w:val="18"/>
          <w:szCs w:val="14"/>
        </w:rPr>
        <w:t xml:space="preserve">comprese: le opere letterarie, drammatiche, </w:t>
      </w:r>
      <w:r w:rsidR="00B44450" w:rsidRPr="007C3556">
        <w:rPr>
          <w:b/>
          <w:sz w:val="18"/>
          <w:szCs w:val="14"/>
        </w:rPr>
        <w:t>scientifiche</w:t>
      </w:r>
      <w:r w:rsidR="00B44450" w:rsidRPr="007C3556">
        <w:rPr>
          <w:sz w:val="18"/>
          <w:szCs w:val="14"/>
        </w:rPr>
        <w:t xml:space="preserve">, </w:t>
      </w:r>
      <w:r w:rsidR="00B44450" w:rsidRPr="007C3556">
        <w:rPr>
          <w:b/>
          <w:sz w:val="18"/>
          <w:szCs w:val="14"/>
        </w:rPr>
        <w:t>didattiche</w:t>
      </w:r>
      <w:r w:rsidR="00B44450" w:rsidRPr="007C3556">
        <w:rPr>
          <w:sz w:val="18"/>
          <w:szCs w:val="14"/>
        </w:rPr>
        <w:t>, religiose, tanto se in forma scritta quanto se orale […]</w:t>
      </w:r>
    </w:p>
  </w:footnote>
  <w:footnote w:id="3">
    <w:p w14:paraId="4E287665" w14:textId="77777777" w:rsidR="00CF192A" w:rsidRPr="007C3556" w:rsidRDefault="00CF192A" w:rsidP="007C3556">
      <w:pPr>
        <w:pStyle w:val="Testonotaapidipagina"/>
        <w:ind w:left="142" w:hanging="142"/>
        <w:jc w:val="both"/>
        <w:rPr>
          <w:sz w:val="18"/>
          <w:szCs w:val="14"/>
        </w:rPr>
      </w:pPr>
      <w:r w:rsidRPr="007C3556">
        <w:rPr>
          <w:rStyle w:val="Rimandonotaapidipagina"/>
          <w:sz w:val="18"/>
          <w:szCs w:val="14"/>
        </w:rPr>
        <w:footnoteRef/>
      </w:r>
      <w:r w:rsidRPr="007C3556">
        <w:rPr>
          <w:sz w:val="18"/>
          <w:szCs w:val="14"/>
        </w:rPr>
        <w:t xml:space="preserve"> Più precisamente </w:t>
      </w:r>
      <w:r w:rsidRPr="007C3556">
        <w:rPr>
          <w:sz w:val="18"/>
          <w:szCs w:val="14"/>
          <w:u w:val="single"/>
        </w:rPr>
        <w:t>l’art. 12</w:t>
      </w:r>
      <w:r w:rsidRPr="007C3556">
        <w:rPr>
          <w:sz w:val="18"/>
          <w:szCs w:val="14"/>
        </w:rPr>
        <w:t xml:space="preserve"> riserva all’autore il diritto esclusivo di utilizzazione economica dell’opera/prodotto; </w:t>
      </w:r>
      <w:r w:rsidRPr="007C3556">
        <w:rPr>
          <w:sz w:val="18"/>
          <w:szCs w:val="14"/>
          <w:u w:val="single"/>
        </w:rPr>
        <w:t>l’art. 20</w:t>
      </w:r>
      <w:r w:rsidRPr="007C3556">
        <w:rPr>
          <w:sz w:val="18"/>
          <w:szCs w:val="14"/>
        </w:rPr>
        <w:t xml:space="preserve"> riconosce allo stesso, anche dopo la cessione dei diritti di utilizzazione economica, il diritto di rivendicare la paternità dell’opera e di opporsi a qualsiasi modificazione ed atto in danno della stessa che possa essere di pregiudizio al suo onore o alla sua reputazione.</w:t>
      </w:r>
    </w:p>
  </w:footnote>
  <w:footnote w:id="4">
    <w:p w14:paraId="0152D058" w14:textId="77777777" w:rsidR="00A70504" w:rsidRPr="007C3556" w:rsidRDefault="00A70504" w:rsidP="007C3556">
      <w:pPr>
        <w:pStyle w:val="Testonotaapidipagina"/>
        <w:ind w:left="142" w:hanging="142"/>
        <w:jc w:val="both"/>
        <w:rPr>
          <w:sz w:val="24"/>
        </w:rPr>
      </w:pPr>
      <w:r w:rsidRPr="007C3556">
        <w:rPr>
          <w:rStyle w:val="Rimandonotaapidipagina"/>
          <w:sz w:val="18"/>
          <w:szCs w:val="14"/>
        </w:rPr>
        <w:footnoteRef/>
      </w:r>
      <w:r w:rsidRPr="007C3556">
        <w:rPr>
          <w:sz w:val="24"/>
        </w:rPr>
        <w:t xml:space="preserve"> </w:t>
      </w:r>
      <w:r w:rsidR="00602DD8" w:rsidRPr="007C3556">
        <w:rPr>
          <w:sz w:val="18"/>
          <w:szCs w:val="14"/>
        </w:rPr>
        <w:t xml:space="preserve">La corte dei Conti chiamata a pronunciarsi su una controversia, tra il Ministero dell’Ambiente e la società incaricata della ristampa su CD- ROM di pacchetti divulgativi dell’attività ministeriale, avente ad oggetto la titolarità del diritto d’autore, è giunta a ritenere </w:t>
      </w:r>
      <w:r w:rsidR="00BE6D56" w:rsidRPr="007C3556">
        <w:rPr>
          <w:sz w:val="18"/>
          <w:szCs w:val="14"/>
        </w:rPr>
        <w:t>in virtù</w:t>
      </w:r>
      <w:r w:rsidR="00602DD8" w:rsidRPr="007C3556">
        <w:rPr>
          <w:sz w:val="18"/>
          <w:szCs w:val="14"/>
        </w:rPr>
        <w:t xml:space="preserve"> delle disposizioni di cui all’art. 11 della L. 633/1941 che i diritti di utilizzazione economica erano di competenza esclusiva dell’Amministrazione</w:t>
      </w:r>
      <w:r w:rsidR="00BE6D56" w:rsidRPr="007C3556">
        <w:rPr>
          <w:sz w:val="18"/>
          <w:szCs w:val="14"/>
        </w:rPr>
        <w:t xml:space="preserve"> Pubblica. Ciò sulla base della circostanza che tali CD recavano il nome dell’amministrazione, con lo stemma della Repubblica Italiana, ed erano stati commissionati e realizzati a spese dello stesso Dicastero (Deliberazione 8/2005/P). </w:t>
      </w:r>
    </w:p>
  </w:footnote>
  <w:footnote w:id="5">
    <w:p w14:paraId="610F76AA" w14:textId="77777777" w:rsidR="00AE150F" w:rsidRPr="007C3556" w:rsidRDefault="00AE150F" w:rsidP="007C3556">
      <w:pPr>
        <w:pStyle w:val="Testonotaapidipagina"/>
        <w:ind w:left="142" w:hanging="142"/>
        <w:jc w:val="both"/>
        <w:rPr>
          <w:szCs w:val="16"/>
        </w:rPr>
      </w:pPr>
      <w:r w:rsidRPr="007C3556">
        <w:rPr>
          <w:rStyle w:val="Rimandonotaapidipagina"/>
          <w:sz w:val="18"/>
          <w:szCs w:val="14"/>
        </w:rPr>
        <w:footnoteRef/>
      </w:r>
      <w:r w:rsidRPr="007C3556">
        <w:rPr>
          <w:sz w:val="18"/>
          <w:szCs w:val="14"/>
        </w:rPr>
        <w:t xml:space="preserve"> Le linee guida </w:t>
      </w:r>
      <w:r w:rsidR="00AC60B2">
        <w:rPr>
          <w:sz w:val="18"/>
          <w:szCs w:val="14"/>
        </w:rPr>
        <w:t>CRUI</w:t>
      </w:r>
      <w:r w:rsidRPr="007C3556">
        <w:rPr>
          <w:sz w:val="18"/>
          <w:szCs w:val="14"/>
        </w:rPr>
        <w:t xml:space="preserve"> stabiliscono che nel caso in cui il lavoro della tesi rientri in un programma di ricerca finanziato da terzi sarà il contratto/convezione con l’ente finanziatore a stabilire se e quali diritti di utilizzazione economica spettano all’autore e all’Università.</w:t>
      </w:r>
      <w:r w:rsidRPr="007C3556">
        <w:rPr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7D5"/>
    <w:rsid w:val="00006446"/>
    <w:rsid w:val="00020A76"/>
    <w:rsid w:val="00025CF0"/>
    <w:rsid w:val="000306B9"/>
    <w:rsid w:val="00031665"/>
    <w:rsid w:val="00037A4C"/>
    <w:rsid w:val="00042611"/>
    <w:rsid w:val="000444F1"/>
    <w:rsid w:val="00044811"/>
    <w:rsid w:val="00050407"/>
    <w:rsid w:val="0005108D"/>
    <w:rsid w:val="00053F7C"/>
    <w:rsid w:val="00056698"/>
    <w:rsid w:val="00056E71"/>
    <w:rsid w:val="00057CF6"/>
    <w:rsid w:val="00063542"/>
    <w:rsid w:val="000654F7"/>
    <w:rsid w:val="00065E07"/>
    <w:rsid w:val="000667DA"/>
    <w:rsid w:val="00073118"/>
    <w:rsid w:val="00075C79"/>
    <w:rsid w:val="0007687C"/>
    <w:rsid w:val="00076925"/>
    <w:rsid w:val="00081309"/>
    <w:rsid w:val="00087162"/>
    <w:rsid w:val="00087C40"/>
    <w:rsid w:val="000901D5"/>
    <w:rsid w:val="00091047"/>
    <w:rsid w:val="0009428D"/>
    <w:rsid w:val="000A3D06"/>
    <w:rsid w:val="000A4F51"/>
    <w:rsid w:val="000B6046"/>
    <w:rsid w:val="000B6195"/>
    <w:rsid w:val="000C2188"/>
    <w:rsid w:val="000C53A6"/>
    <w:rsid w:val="000C5CD2"/>
    <w:rsid w:val="000C5DC5"/>
    <w:rsid w:val="000D07EB"/>
    <w:rsid w:val="000D1DAF"/>
    <w:rsid w:val="000E2D4F"/>
    <w:rsid w:val="000E4D67"/>
    <w:rsid w:val="000E548B"/>
    <w:rsid w:val="000F34E3"/>
    <w:rsid w:val="000F4395"/>
    <w:rsid w:val="000F600B"/>
    <w:rsid w:val="000F7E24"/>
    <w:rsid w:val="0011053A"/>
    <w:rsid w:val="00112566"/>
    <w:rsid w:val="0011602E"/>
    <w:rsid w:val="00120310"/>
    <w:rsid w:val="00126516"/>
    <w:rsid w:val="0012679B"/>
    <w:rsid w:val="001544C9"/>
    <w:rsid w:val="00154A70"/>
    <w:rsid w:val="0017264E"/>
    <w:rsid w:val="00174D81"/>
    <w:rsid w:val="001809BF"/>
    <w:rsid w:val="00182662"/>
    <w:rsid w:val="001854FA"/>
    <w:rsid w:val="00185632"/>
    <w:rsid w:val="00191ACE"/>
    <w:rsid w:val="001974CD"/>
    <w:rsid w:val="001A26DA"/>
    <w:rsid w:val="001A7396"/>
    <w:rsid w:val="001B08B7"/>
    <w:rsid w:val="001B49E9"/>
    <w:rsid w:val="001B7FEA"/>
    <w:rsid w:val="001C155E"/>
    <w:rsid w:val="001C51F2"/>
    <w:rsid w:val="001D4DFA"/>
    <w:rsid w:val="001F7B02"/>
    <w:rsid w:val="002018E5"/>
    <w:rsid w:val="0020334A"/>
    <w:rsid w:val="002040CC"/>
    <w:rsid w:val="00204DE7"/>
    <w:rsid w:val="00206E35"/>
    <w:rsid w:val="00210C65"/>
    <w:rsid w:val="00223AD2"/>
    <w:rsid w:val="00240903"/>
    <w:rsid w:val="00241016"/>
    <w:rsid w:val="002509FF"/>
    <w:rsid w:val="0025153D"/>
    <w:rsid w:val="0025384A"/>
    <w:rsid w:val="0025467D"/>
    <w:rsid w:val="00254D7C"/>
    <w:rsid w:val="002568B4"/>
    <w:rsid w:val="00261EBA"/>
    <w:rsid w:val="0027077A"/>
    <w:rsid w:val="00270DBD"/>
    <w:rsid w:val="00275B47"/>
    <w:rsid w:val="00277E8B"/>
    <w:rsid w:val="00287393"/>
    <w:rsid w:val="002949EB"/>
    <w:rsid w:val="00294D3E"/>
    <w:rsid w:val="002A1EFA"/>
    <w:rsid w:val="002A247B"/>
    <w:rsid w:val="002A4CA4"/>
    <w:rsid w:val="002B6C20"/>
    <w:rsid w:val="002C2B6C"/>
    <w:rsid w:val="002C6253"/>
    <w:rsid w:val="002E1535"/>
    <w:rsid w:val="002F3879"/>
    <w:rsid w:val="002F62CE"/>
    <w:rsid w:val="002F7091"/>
    <w:rsid w:val="00302BF0"/>
    <w:rsid w:val="00334E4F"/>
    <w:rsid w:val="00347E19"/>
    <w:rsid w:val="00352391"/>
    <w:rsid w:val="0035282F"/>
    <w:rsid w:val="00367E6B"/>
    <w:rsid w:val="00372258"/>
    <w:rsid w:val="0038323A"/>
    <w:rsid w:val="00392A2D"/>
    <w:rsid w:val="00392C6D"/>
    <w:rsid w:val="00397431"/>
    <w:rsid w:val="003B48C7"/>
    <w:rsid w:val="003B4F3B"/>
    <w:rsid w:val="003B6482"/>
    <w:rsid w:val="003C01BE"/>
    <w:rsid w:val="003C3C20"/>
    <w:rsid w:val="003D6806"/>
    <w:rsid w:val="003D69C0"/>
    <w:rsid w:val="003D7495"/>
    <w:rsid w:val="003F5487"/>
    <w:rsid w:val="003F6ADC"/>
    <w:rsid w:val="00400E11"/>
    <w:rsid w:val="004060D0"/>
    <w:rsid w:val="00406B57"/>
    <w:rsid w:val="00416A37"/>
    <w:rsid w:val="004203F5"/>
    <w:rsid w:val="00422710"/>
    <w:rsid w:val="00432B0A"/>
    <w:rsid w:val="004338F2"/>
    <w:rsid w:val="00434798"/>
    <w:rsid w:val="00436965"/>
    <w:rsid w:val="00437B0F"/>
    <w:rsid w:val="00452E0E"/>
    <w:rsid w:val="00452E4C"/>
    <w:rsid w:val="00453AA4"/>
    <w:rsid w:val="004674F3"/>
    <w:rsid w:val="00476ED5"/>
    <w:rsid w:val="0048279F"/>
    <w:rsid w:val="004A59A2"/>
    <w:rsid w:val="004A7463"/>
    <w:rsid w:val="004B66E8"/>
    <w:rsid w:val="004C6E80"/>
    <w:rsid w:val="004C7C4C"/>
    <w:rsid w:val="004C7FCB"/>
    <w:rsid w:val="004D1A75"/>
    <w:rsid w:val="004D52AF"/>
    <w:rsid w:val="004D764C"/>
    <w:rsid w:val="004E769F"/>
    <w:rsid w:val="004F5D6F"/>
    <w:rsid w:val="005012AD"/>
    <w:rsid w:val="0050227D"/>
    <w:rsid w:val="0050542A"/>
    <w:rsid w:val="0051081B"/>
    <w:rsid w:val="005263C2"/>
    <w:rsid w:val="00534A1B"/>
    <w:rsid w:val="00537904"/>
    <w:rsid w:val="00545DDD"/>
    <w:rsid w:val="00547769"/>
    <w:rsid w:val="0056029D"/>
    <w:rsid w:val="00561984"/>
    <w:rsid w:val="00562162"/>
    <w:rsid w:val="005726F5"/>
    <w:rsid w:val="00573EB0"/>
    <w:rsid w:val="00587EA6"/>
    <w:rsid w:val="0059326A"/>
    <w:rsid w:val="00596023"/>
    <w:rsid w:val="005A2BA2"/>
    <w:rsid w:val="005B0242"/>
    <w:rsid w:val="005B5A3D"/>
    <w:rsid w:val="005C1644"/>
    <w:rsid w:val="005C1D3D"/>
    <w:rsid w:val="005C2BD9"/>
    <w:rsid w:val="005C3224"/>
    <w:rsid w:val="005C7827"/>
    <w:rsid w:val="005E06C4"/>
    <w:rsid w:val="005E2DC2"/>
    <w:rsid w:val="005E71FB"/>
    <w:rsid w:val="00602DD8"/>
    <w:rsid w:val="00605A48"/>
    <w:rsid w:val="006108A2"/>
    <w:rsid w:val="00625FE0"/>
    <w:rsid w:val="00632070"/>
    <w:rsid w:val="00641AE7"/>
    <w:rsid w:val="0065370A"/>
    <w:rsid w:val="0065696A"/>
    <w:rsid w:val="006654B8"/>
    <w:rsid w:val="00667C5E"/>
    <w:rsid w:val="006713E8"/>
    <w:rsid w:val="00674CAE"/>
    <w:rsid w:val="00674ED8"/>
    <w:rsid w:val="006771E6"/>
    <w:rsid w:val="006800AF"/>
    <w:rsid w:val="00681630"/>
    <w:rsid w:val="0068365C"/>
    <w:rsid w:val="006A314E"/>
    <w:rsid w:val="006A794B"/>
    <w:rsid w:val="006B3E6B"/>
    <w:rsid w:val="006C1164"/>
    <w:rsid w:val="006C414A"/>
    <w:rsid w:val="006D2961"/>
    <w:rsid w:val="006D36ED"/>
    <w:rsid w:val="006D50CB"/>
    <w:rsid w:val="006D5E85"/>
    <w:rsid w:val="006E458B"/>
    <w:rsid w:val="006E4C7F"/>
    <w:rsid w:val="006E4EE7"/>
    <w:rsid w:val="006E5A1B"/>
    <w:rsid w:val="00704228"/>
    <w:rsid w:val="00717529"/>
    <w:rsid w:val="007227D4"/>
    <w:rsid w:val="00726E84"/>
    <w:rsid w:val="00726EC0"/>
    <w:rsid w:val="007301FC"/>
    <w:rsid w:val="007445D8"/>
    <w:rsid w:val="00744627"/>
    <w:rsid w:val="00746E9F"/>
    <w:rsid w:val="00757E47"/>
    <w:rsid w:val="007607AB"/>
    <w:rsid w:val="007670F0"/>
    <w:rsid w:val="00774F66"/>
    <w:rsid w:val="007808BE"/>
    <w:rsid w:val="00792B8B"/>
    <w:rsid w:val="00797BFF"/>
    <w:rsid w:val="007A5CA1"/>
    <w:rsid w:val="007A730D"/>
    <w:rsid w:val="007A7D78"/>
    <w:rsid w:val="007B4176"/>
    <w:rsid w:val="007B5F6A"/>
    <w:rsid w:val="007B7CB3"/>
    <w:rsid w:val="007B7D0A"/>
    <w:rsid w:val="007C3556"/>
    <w:rsid w:val="007C4A9E"/>
    <w:rsid w:val="007D491C"/>
    <w:rsid w:val="007D51F5"/>
    <w:rsid w:val="007E68A6"/>
    <w:rsid w:val="007F16CF"/>
    <w:rsid w:val="007F4102"/>
    <w:rsid w:val="008061C7"/>
    <w:rsid w:val="00810AA5"/>
    <w:rsid w:val="00817400"/>
    <w:rsid w:val="0082057B"/>
    <w:rsid w:val="0082531D"/>
    <w:rsid w:val="00831F21"/>
    <w:rsid w:val="00835148"/>
    <w:rsid w:val="00841542"/>
    <w:rsid w:val="00841A78"/>
    <w:rsid w:val="00847605"/>
    <w:rsid w:val="0085131F"/>
    <w:rsid w:val="008571A3"/>
    <w:rsid w:val="008579FC"/>
    <w:rsid w:val="00863485"/>
    <w:rsid w:val="00863999"/>
    <w:rsid w:val="008677D5"/>
    <w:rsid w:val="0088376B"/>
    <w:rsid w:val="008A389A"/>
    <w:rsid w:val="008A79F3"/>
    <w:rsid w:val="008B1F4C"/>
    <w:rsid w:val="008B42B4"/>
    <w:rsid w:val="008B4F27"/>
    <w:rsid w:val="008B5E3C"/>
    <w:rsid w:val="008C2373"/>
    <w:rsid w:val="008C331C"/>
    <w:rsid w:val="008C4024"/>
    <w:rsid w:val="008C4799"/>
    <w:rsid w:val="008C50A4"/>
    <w:rsid w:val="008C718B"/>
    <w:rsid w:val="008D1D5D"/>
    <w:rsid w:val="008D2434"/>
    <w:rsid w:val="008D24A8"/>
    <w:rsid w:val="008D6DB0"/>
    <w:rsid w:val="008E6D40"/>
    <w:rsid w:val="008F1767"/>
    <w:rsid w:val="00902060"/>
    <w:rsid w:val="009135A5"/>
    <w:rsid w:val="0091535A"/>
    <w:rsid w:val="009259D1"/>
    <w:rsid w:val="0092792E"/>
    <w:rsid w:val="00960AE1"/>
    <w:rsid w:val="00961A18"/>
    <w:rsid w:val="0096321C"/>
    <w:rsid w:val="00963B86"/>
    <w:rsid w:val="00964D99"/>
    <w:rsid w:val="00965308"/>
    <w:rsid w:val="00965E7D"/>
    <w:rsid w:val="00975680"/>
    <w:rsid w:val="009A001A"/>
    <w:rsid w:val="009A2DA5"/>
    <w:rsid w:val="009B2696"/>
    <w:rsid w:val="009B4AEE"/>
    <w:rsid w:val="009C7AA8"/>
    <w:rsid w:val="009D77FD"/>
    <w:rsid w:val="009E0E1B"/>
    <w:rsid w:val="009F395F"/>
    <w:rsid w:val="009F4EB0"/>
    <w:rsid w:val="00A146FF"/>
    <w:rsid w:val="00A24AED"/>
    <w:rsid w:val="00A36A90"/>
    <w:rsid w:val="00A43D42"/>
    <w:rsid w:val="00A47DE0"/>
    <w:rsid w:val="00A54040"/>
    <w:rsid w:val="00A6111D"/>
    <w:rsid w:val="00A62934"/>
    <w:rsid w:val="00A64F6E"/>
    <w:rsid w:val="00A70504"/>
    <w:rsid w:val="00A81D88"/>
    <w:rsid w:val="00A83DB7"/>
    <w:rsid w:val="00A85981"/>
    <w:rsid w:val="00A86F9A"/>
    <w:rsid w:val="00A93889"/>
    <w:rsid w:val="00A96F4E"/>
    <w:rsid w:val="00AA1C8A"/>
    <w:rsid w:val="00AA7196"/>
    <w:rsid w:val="00AA7F12"/>
    <w:rsid w:val="00AB1512"/>
    <w:rsid w:val="00AB2D7D"/>
    <w:rsid w:val="00AB56D3"/>
    <w:rsid w:val="00AC4B8A"/>
    <w:rsid w:val="00AC60B2"/>
    <w:rsid w:val="00AD257D"/>
    <w:rsid w:val="00AD4EFA"/>
    <w:rsid w:val="00AE150F"/>
    <w:rsid w:val="00AE2129"/>
    <w:rsid w:val="00AF0F4C"/>
    <w:rsid w:val="00AF323E"/>
    <w:rsid w:val="00AF3979"/>
    <w:rsid w:val="00AF532C"/>
    <w:rsid w:val="00B03ABF"/>
    <w:rsid w:val="00B0693A"/>
    <w:rsid w:val="00B10B2B"/>
    <w:rsid w:val="00B2330A"/>
    <w:rsid w:val="00B24291"/>
    <w:rsid w:val="00B31AA0"/>
    <w:rsid w:val="00B339F1"/>
    <w:rsid w:val="00B4111C"/>
    <w:rsid w:val="00B42E1A"/>
    <w:rsid w:val="00B44450"/>
    <w:rsid w:val="00B45318"/>
    <w:rsid w:val="00B47EB3"/>
    <w:rsid w:val="00B55D13"/>
    <w:rsid w:val="00B62BCF"/>
    <w:rsid w:val="00B63B9E"/>
    <w:rsid w:val="00B70360"/>
    <w:rsid w:val="00B74EF3"/>
    <w:rsid w:val="00B75681"/>
    <w:rsid w:val="00B959D2"/>
    <w:rsid w:val="00BB010E"/>
    <w:rsid w:val="00BB01B9"/>
    <w:rsid w:val="00BB131E"/>
    <w:rsid w:val="00BB1C1D"/>
    <w:rsid w:val="00BB4557"/>
    <w:rsid w:val="00BC051F"/>
    <w:rsid w:val="00BC55CF"/>
    <w:rsid w:val="00BC7DCD"/>
    <w:rsid w:val="00BD32DF"/>
    <w:rsid w:val="00BD57AE"/>
    <w:rsid w:val="00BE2459"/>
    <w:rsid w:val="00BE32B6"/>
    <w:rsid w:val="00BE448C"/>
    <w:rsid w:val="00BE6D56"/>
    <w:rsid w:val="00BE7BCA"/>
    <w:rsid w:val="00BF3464"/>
    <w:rsid w:val="00BF5383"/>
    <w:rsid w:val="00C0623C"/>
    <w:rsid w:val="00C0772F"/>
    <w:rsid w:val="00C137B1"/>
    <w:rsid w:val="00C15335"/>
    <w:rsid w:val="00C161CD"/>
    <w:rsid w:val="00C3189A"/>
    <w:rsid w:val="00C3337F"/>
    <w:rsid w:val="00C3476B"/>
    <w:rsid w:val="00C409C6"/>
    <w:rsid w:val="00C46EC5"/>
    <w:rsid w:val="00C50EC9"/>
    <w:rsid w:val="00C54EEA"/>
    <w:rsid w:val="00C5613D"/>
    <w:rsid w:val="00C63E8E"/>
    <w:rsid w:val="00C731E5"/>
    <w:rsid w:val="00C82C75"/>
    <w:rsid w:val="00C84A6C"/>
    <w:rsid w:val="00C94E80"/>
    <w:rsid w:val="00CB4769"/>
    <w:rsid w:val="00CB539E"/>
    <w:rsid w:val="00CB61AA"/>
    <w:rsid w:val="00CB6868"/>
    <w:rsid w:val="00CC11A7"/>
    <w:rsid w:val="00CD093F"/>
    <w:rsid w:val="00CE0E04"/>
    <w:rsid w:val="00CE1FCF"/>
    <w:rsid w:val="00CF192A"/>
    <w:rsid w:val="00CF7260"/>
    <w:rsid w:val="00D013F3"/>
    <w:rsid w:val="00D03234"/>
    <w:rsid w:val="00D22459"/>
    <w:rsid w:val="00D25380"/>
    <w:rsid w:val="00D36079"/>
    <w:rsid w:val="00D37484"/>
    <w:rsid w:val="00D40047"/>
    <w:rsid w:val="00D507DD"/>
    <w:rsid w:val="00D64DAD"/>
    <w:rsid w:val="00D6636D"/>
    <w:rsid w:val="00D71B7F"/>
    <w:rsid w:val="00D7236B"/>
    <w:rsid w:val="00D73C1C"/>
    <w:rsid w:val="00D73C9F"/>
    <w:rsid w:val="00D73CC3"/>
    <w:rsid w:val="00D752C3"/>
    <w:rsid w:val="00D80D24"/>
    <w:rsid w:val="00D81EE9"/>
    <w:rsid w:val="00D8256A"/>
    <w:rsid w:val="00D85A62"/>
    <w:rsid w:val="00D95A18"/>
    <w:rsid w:val="00D96376"/>
    <w:rsid w:val="00D97808"/>
    <w:rsid w:val="00DA286F"/>
    <w:rsid w:val="00DA3427"/>
    <w:rsid w:val="00DC2ABA"/>
    <w:rsid w:val="00DC3B89"/>
    <w:rsid w:val="00DC7FCB"/>
    <w:rsid w:val="00DD2BB3"/>
    <w:rsid w:val="00DE4E86"/>
    <w:rsid w:val="00DF354D"/>
    <w:rsid w:val="00DF58B8"/>
    <w:rsid w:val="00E1089E"/>
    <w:rsid w:val="00E148F3"/>
    <w:rsid w:val="00E15E18"/>
    <w:rsid w:val="00E16C8F"/>
    <w:rsid w:val="00E2206A"/>
    <w:rsid w:val="00E248A6"/>
    <w:rsid w:val="00E302B3"/>
    <w:rsid w:val="00E303DA"/>
    <w:rsid w:val="00E4091B"/>
    <w:rsid w:val="00E41D2E"/>
    <w:rsid w:val="00E42ECE"/>
    <w:rsid w:val="00E475D9"/>
    <w:rsid w:val="00E47971"/>
    <w:rsid w:val="00E47FD8"/>
    <w:rsid w:val="00E562A2"/>
    <w:rsid w:val="00E60E39"/>
    <w:rsid w:val="00E6143E"/>
    <w:rsid w:val="00E74F34"/>
    <w:rsid w:val="00E84DC3"/>
    <w:rsid w:val="00E94999"/>
    <w:rsid w:val="00EA19C6"/>
    <w:rsid w:val="00EA4155"/>
    <w:rsid w:val="00EA6A76"/>
    <w:rsid w:val="00EB1160"/>
    <w:rsid w:val="00EB495D"/>
    <w:rsid w:val="00EC039E"/>
    <w:rsid w:val="00EC1760"/>
    <w:rsid w:val="00EC65A2"/>
    <w:rsid w:val="00ED19BB"/>
    <w:rsid w:val="00ED20FF"/>
    <w:rsid w:val="00ED501A"/>
    <w:rsid w:val="00ED7F1C"/>
    <w:rsid w:val="00EE447E"/>
    <w:rsid w:val="00EE6844"/>
    <w:rsid w:val="00EE76FF"/>
    <w:rsid w:val="00EE7BEA"/>
    <w:rsid w:val="00EF34F1"/>
    <w:rsid w:val="00EF3FE7"/>
    <w:rsid w:val="00EF52FC"/>
    <w:rsid w:val="00EF76B0"/>
    <w:rsid w:val="00F01DCA"/>
    <w:rsid w:val="00F02EC8"/>
    <w:rsid w:val="00F067FE"/>
    <w:rsid w:val="00F077DD"/>
    <w:rsid w:val="00F1071F"/>
    <w:rsid w:val="00F169EA"/>
    <w:rsid w:val="00F1764F"/>
    <w:rsid w:val="00F42F0F"/>
    <w:rsid w:val="00F43735"/>
    <w:rsid w:val="00F44830"/>
    <w:rsid w:val="00F54ABB"/>
    <w:rsid w:val="00F57ACC"/>
    <w:rsid w:val="00F63795"/>
    <w:rsid w:val="00F6644E"/>
    <w:rsid w:val="00F67B3B"/>
    <w:rsid w:val="00F67EFB"/>
    <w:rsid w:val="00F71382"/>
    <w:rsid w:val="00F72ADE"/>
    <w:rsid w:val="00F81945"/>
    <w:rsid w:val="00F92500"/>
    <w:rsid w:val="00F9371F"/>
    <w:rsid w:val="00FC10F5"/>
    <w:rsid w:val="00FC1800"/>
    <w:rsid w:val="00FC55AA"/>
    <w:rsid w:val="00FC74D8"/>
    <w:rsid w:val="00FE1D6B"/>
    <w:rsid w:val="00FE7EFE"/>
    <w:rsid w:val="00FF0F17"/>
    <w:rsid w:val="00FF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D1C2"/>
  <w15:chartTrackingRefBased/>
  <w15:docId w15:val="{78D780A6-30FB-4227-8FA2-E8FA9C1D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296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296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D296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5981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87E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7EA6"/>
  </w:style>
  <w:style w:type="paragraph" w:styleId="Pidipagina">
    <w:name w:val="footer"/>
    <w:basedOn w:val="Normale"/>
    <w:link w:val="PidipaginaCarattere"/>
    <w:uiPriority w:val="99"/>
    <w:unhideWhenUsed/>
    <w:rsid w:val="00587E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EA6"/>
  </w:style>
  <w:style w:type="character" w:styleId="Rimandocommento">
    <w:name w:val="annotation reference"/>
    <w:basedOn w:val="Carpredefinitoparagrafo"/>
    <w:uiPriority w:val="99"/>
    <w:semiHidden/>
    <w:unhideWhenUsed/>
    <w:rsid w:val="008C47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C479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479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479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47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4A147-EED5-49D1-8046-3477C8E28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Cianni</dc:creator>
  <cp:keywords/>
  <dc:description/>
  <cp:lastModifiedBy>Michela Fagioli</cp:lastModifiedBy>
  <cp:revision>2</cp:revision>
  <dcterms:created xsi:type="dcterms:W3CDTF">2025-05-16T11:16:00Z</dcterms:created>
  <dcterms:modified xsi:type="dcterms:W3CDTF">2025-05-16T11:16:00Z</dcterms:modified>
</cp:coreProperties>
</file>